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4F72" w14:textId="77777777" w:rsidR="004F0B31" w:rsidRDefault="004F0B31" w:rsidP="004F0B31">
      <w:r>
        <w:t>6.2. Współczynnik izolacyjności cieplnej w bramie z drzwiami przejściowymi nie jest osiągalny na poziomie 1.3 niezależnie od Producenta (patrz załącznik ze wstępną konfiguracją)</w:t>
      </w:r>
    </w:p>
    <w:p w14:paraId="53859E35" w14:textId="77777777" w:rsidR="004F0B31" w:rsidRDefault="004F0B31" w:rsidP="004F0B31">
      <w:r>
        <w:t>Czy wobec tego dopuszczacie Państwo bramy o współczynniku na wyższym poziomie, odpowiednio 2.1 W/m2K dla bram 2200x2600 i 1.8 W/m2K dla bramy 3000x3000?</w:t>
      </w:r>
    </w:p>
    <w:p w14:paraId="48133045" w14:textId="4743501D" w:rsidR="004F0B31" w:rsidRPr="00BE6F2F" w:rsidRDefault="004F0B31" w:rsidP="004F0B31">
      <w:pPr>
        <w:rPr>
          <w:i/>
          <w:iCs/>
        </w:rPr>
      </w:pPr>
      <w:r w:rsidRPr="00BE6F2F">
        <w:rPr>
          <w:i/>
          <w:iCs/>
        </w:rPr>
        <w:t>Tak Zmawiający dopuszcza bramy o powyższym współczynniku</w:t>
      </w:r>
      <w:r w:rsidR="00BE6F2F">
        <w:rPr>
          <w:i/>
          <w:iCs/>
        </w:rPr>
        <w:t xml:space="preserve"> o ile producent bramy nie posiada bram o niższym współczynniku cieplnym. </w:t>
      </w:r>
    </w:p>
    <w:p w14:paraId="232F98D1" w14:textId="77777777" w:rsidR="004F0B31" w:rsidRDefault="004F0B31" w:rsidP="004F0B31">
      <w:r>
        <w:t>6.3. Powłoka lakieru wewnętrznej strony płaszcza w RAL 9016. Standardowym kolorem dla malowania paneli od wewnątrz jest RAL 9002, czy akceptujecie Państwo panele w RAL 9002 od wewnątrz?</w:t>
      </w:r>
    </w:p>
    <w:p w14:paraId="740643EB" w14:textId="679C5828" w:rsidR="004F0B31" w:rsidRPr="00BE6F2F" w:rsidRDefault="004F0B31" w:rsidP="004F0B31">
      <w:pPr>
        <w:rPr>
          <w:i/>
          <w:iCs/>
        </w:rPr>
      </w:pPr>
      <w:r w:rsidRPr="00BE6F2F">
        <w:rPr>
          <w:i/>
          <w:iCs/>
        </w:rPr>
        <w:t xml:space="preserve">Tak Zamawiający akceptuje kolor bały RAL 9002  </w:t>
      </w:r>
    </w:p>
    <w:p w14:paraId="56D6CA4E" w14:textId="2E0B102E" w:rsidR="004F0B31" w:rsidRDefault="004F0B31" w:rsidP="004F0B31">
      <w:r>
        <w:t>6.4. Kolor okuć drzwi przejściowych. Czy okucia drzwi przejściowych mogą/muszą być wykonane w kolorze dowolnym (paleta RAL), kolorze zbliżonym (np. RAL 6002) czy kolorze identycznym jak płaszcz bramy (RAL 6005)?</w:t>
      </w:r>
    </w:p>
    <w:p w14:paraId="5C1B9DED" w14:textId="7D3C3E8F" w:rsidR="00BE6F2F" w:rsidRDefault="00BE6F2F" w:rsidP="004F0B31">
      <w:pPr>
        <w:rPr>
          <w:i/>
          <w:iCs/>
        </w:rPr>
      </w:pPr>
      <w:r>
        <w:rPr>
          <w:i/>
          <w:iCs/>
        </w:rPr>
        <w:t xml:space="preserve">TAK pod warunkiem zaakceptowania koloru przez Zamawiającego </w:t>
      </w:r>
    </w:p>
    <w:p w14:paraId="091C0820" w14:textId="477E875C" w:rsidR="004F0B31" w:rsidRDefault="004F0B31" w:rsidP="004F0B31">
      <w:r>
        <w:t>7.1. i 7.3. Wzmocnienie paneli stalowych, okuć i rolek. Proszę o doprecyzowanie zakresu wzmocnień, czy chodzi o pojedyncze zewnętrzne elementy usztywniające panele typu Omega w kolorze płaszcza montowane od wewnątrz czy chodzi o cały pakiet wzmocnień (patrz załącznik) które w bramie z drzwiami przejściowymi można zastosować w ograniczonym zakresie. Niezależnie od producenta dopłaty za tego typu wzmocnienia sięgają nawet 20% wartości całej bramy.</w:t>
      </w:r>
    </w:p>
    <w:p w14:paraId="13707BC9" w14:textId="2736F353" w:rsidR="004F0B31" w:rsidRPr="00BE6F2F" w:rsidRDefault="00BE6F2F" w:rsidP="004F0B31">
      <w:pPr>
        <w:rPr>
          <w:i/>
          <w:iCs/>
        </w:rPr>
      </w:pPr>
      <w:r w:rsidRPr="00BE6F2F">
        <w:rPr>
          <w:i/>
          <w:iCs/>
        </w:rPr>
        <w:t xml:space="preserve">Proszę zastosować podwójne rolki i podwójne okucia rolek </w:t>
      </w:r>
    </w:p>
    <w:p w14:paraId="5D497E6C" w14:textId="77777777" w:rsidR="004F0B31" w:rsidRDefault="004F0B31" w:rsidP="004F0B31">
      <w:r>
        <w:t>7.5 itp. Przygotowanie bramy pod przyszły ewentualny montaż napędu. Standardowo przygotowanie bramy polega na: a) wydłużeniu wałka b) montażu czujnika otwarcia drzwi przejściowych c) zastosowania odpowiedniej uszczelki dolnej pozwalającej na montaż czujników listwy optycznej zabezpieczającej krawędź dolną. W przypadku bram z drzwiami z niskim progiem ta ostatnia czynność nie może zostać wykonana z uwagi na aluminiowy sztywny próg. W takim układzie pozostaje możliwość zamontowania kurtyny świetlnej lub przygotowania dolnego progu pod montaż innego zabezpieczenia krawędzi dolnej np. fotokomórki wyprzedzającej, co z kolei wiąże się z frezowaniem progu w warunkach fabrycznych. W bramach o wysokości poniżej 2700mm nie ma możliwości zastosowania powszechnie stosowanych kurtyn świetlnych, które standardowo są po prostu dłuższe.</w:t>
      </w:r>
    </w:p>
    <w:p w14:paraId="6783DC1C" w14:textId="02217918" w:rsidR="004F0B31" w:rsidRPr="00BE6F2F" w:rsidRDefault="004F0B31" w:rsidP="004F0B31">
      <w:pPr>
        <w:rPr>
          <w:i/>
          <w:iCs/>
        </w:rPr>
      </w:pPr>
      <w:r w:rsidRPr="00BE6F2F">
        <w:rPr>
          <w:i/>
          <w:iCs/>
        </w:rPr>
        <w:t xml:space="preserve">Zamawiający nie narzuca rozwiązania technicznego Oferentowi jakie zamierza przyjąć, w zakresie bezpieczeństwa przed </w:t>
      </w:r>
      <w:r w:rsidRPr="00BE6F2F">
        <w:rPr>
          <w:i/>
          <w:iCs/>
        </w:rPr>
        <w:t>zgnieceniem przez zamykającą się bramę.</w:t>
      </w:r>
    </w:p>
    <w:p w14:paraId="0AEDBB51" w14:textId="7C654A77" w:rsidR="00F122CF" w:rsidRDefault="004F0B31" w:rsidP="004F0B31">
      <w:r>
        <w:t>6.6. Wskazane jest prowadzenie wysokie wyrażone jako HL. Akurat nadproże o wysokości 600mm jest punktem granicznym pomiędzy wysokim i standardowym. Zatem czy możemy zastosować dowolne prowadzenie z warunkiem, że wykorzystana zostanie cała wartość dostępnego nadproża?</w:t>
      </w:r>
      <w:r w:rsidR="00BE6F2F">
        <w:t xml:space="preserve"> </w:t>
      </w:r>
    </w:p>
    <w:p w14:paraId="2EAB3697" w14:textId="7EE55832" w:rsidR="00BE6F2F" w:rsidRPr="00BE6F2F" w:rsidRDefault="00BE6F2F" w:rsidP="004F0B31">
      <w:pPr>
        <w:rPr>
          <w:i/>
          <w:iCs/>
        </w:rPr>
      </w:pPr>
      <w:r w:rsidRPr="00BE6F2F">
        <w:rPr>
          <w:i/>
          <w:iCs/>
        </w:rPr>
        <w:t xml:space="preserve">Sposób prowadzenia i wymiary nadproża powinny być identyczne jak w baramch zamontowanych </w:t>
      </w:r>
      <w:r>
        <w:rPr>
          <w:i/>
          <w:iCs/>
        </w:rPr>
        <w:t xml:space="preserve">przeznaczonych do wymiany </w:t>
      </w:r>
    </w:p>
    <w:p w14:paraId="76D10250" w14:textId="3C1A4262" w:rsidR="00BE6F2F" w:rsidRDefault="00BE6F2F" w:rsidP="004F0B31"/>
    <w:sectPr w:rsidR="00BE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05BD" w14:textId="77777777" w:rsidR="00F84B53" w:rsidRDefault="00F84B53" w:rsidP="00BE6F2F">
      <w:pPr>
        <w:spacing w:after="0" w:line="240" w:lineRule="auto"/>
      </w:pPr>
      <w:r>
        <w:separator/>
      </w:r>
    </w:p>
  </w:endnote>
  <w:endnote w:type="continuationSeparator" w:id="0">
    <w:p w14:paraId="412C4FC5" w14:textId="77777777" w:rsidR="00F84B53" w:rsidRDefault="00F84B53" w:rsidP="00BE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6C60" w14:textId="77777777" w:rsidR="00F84B53" w:rsidRDefault="00F84B53" w:rsidP="00BE6F2F">
      <w:pPr>
        <w:spacing w:after="0" w:line="240" w:lineRule="auto"/>
      </w:pPr>
      <w:r>
        <w:separator/>
      </w:r>
    </w:p>
  </w:footnote>
  <w:footnote w:type="continuationSeparator" w:id="0">
    <w:p w14:paraId="6AB8547D" w14:textId="77777777" w:rsidR="00F84B53" w:rsidRDefault="00F84B53" w:rsidP="00BE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1"/>
    <w:rsid w:val="004F0B31"/>
    <w:rsid w:val="00701544"/>
    <w:rsid w:val="00967A14"/>
    <w:rsid w:val="00BE6F2F"/>
    <w:rsid w:val="00C603B3"/>
    <w:rsid w:val="00CF5260"/>
    <w:rsid w:val="00F122CF"/>
    <w:rsid w:val="00F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FA70"/>
  <w15:chartTrackingRefBased/>
  <w15:docId w15:val="{E9D46E55-725A-46D4-9152-4CA233F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B3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/>
  <cp:revision>1</cp:revision>
  <dcterms:created xsi:type="dcterms:W3CDTF">2026-07-02T13:30:00Z</dcterms:created>
</cp:coreProperties>
</file>