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63A40" w14:textId="30DE4150" w:rsidR="00873316" w:rsidRDefault="00215D1B" w:rsidP="006D14C9">
      <w:pPr>
        <w:pStyle w:val="Akapitzlist"/>
        <w:numPr>
          <w:ilvl w:val="0"/>
          <w:numId w:val="1"/>
        </w:numPr>
        <w:ind w:left="426"/>
        <w:jc w:val="both"/>
      </w:pPr>
      <w:r w:rsidRPr="00215D1B">
        <w:t>Pytanie: Czy jeżeli oferent odbył wizję lokalną przed pierwszym postępowaniem to czy może ona zostać zaliczona na poczet startu w obecnym postępowaniu?</w:t>
      </w:r>
    </w:p>
    <w:p w14:paraId="06E555B6" w14:textId="32F5AC1D" w:rsidR="006D14C9" w:rsidRPr="00215D1B" w:rsidRDefault="006D14C9" w:rsidP="006D14C9">
      <w:pPr>
        <w:pStyle w:val="Akapitzlist"/>
        <w:ind w:left="426"/>
        <w:jc w:val="both"/>
      </w:pPr>
      <w:r w:rsidRPr="006D14C9">
        <w:rPr>
          <w:highlight w:val="green"/>
        </w:rPr>
        <w:t>TAK. Zamawiający uwzględni odbyt</w:t>
      </w:r>
      <w:r w:rsidR="00F83BA1">
        <w:rPr>
          <w:highlight w:val="green"/>
        </w:rPr>
        <w:t>ą</w:t>
      </w:r>
      <w:r w:rsidRPr="006D14C9">
        <w:rPr>
          <w:highlight w:val="green"/>
        </w:rPr>
        <w:t xml:space="preserve"> wizję lokaln</w:t>
      </w:r>
      <w:r w:rsidR="00F83BA1">
        <w:rPr>
          <w:highlight w:val="green"/>
        </w:rPr>
        <w:t>ą</w:t>
      </w:r>
      <w:r w:rsidRPr="006D14C9">
        <w:rPr>
          <w:highlight w:val="green"/>
        </w:rPr>
        <w:t xml:space="preserve"> w </w:t>
      </w:r>
      <w:r w:rsidR="00F83BA1">
        <w:rPr>
          <w:highlight w:val="green"/>
        </w:rPr>
        <w:t>ramach poprzedniego</w:t>
      </w:r>
      <w:r w:rsidRPr="006D14C9">
        <w:rPr>
          <w:highlight w:val="green"/>
        </w:rPr>
        <w:t xml:space="preserve"> postępowani</w:t>
      </w:r>
      <w:r w:rsidR="00F83BA1">
        <w:rPr>
          <w:highlight w:val="green"/>
        </w:rPr>
        <w:t>a</w:t>
      </w:r>
      <w:r w:rsidRPr="006D14C9">
        <w:rPr>
          <w:highlight w:val="green"/>
        </w:rPr>
        <w:t xml:space="preserve"> przetargo</w:t>
      </w:r>
      <w:r w:rsidRPr="00F83BA1">
        <w:rPr>
          <w:highlight w:val="green"/>
        </w:rPr>
        <w:t>w</w:t>
      </w:r>
      <w:r w:rsidR="00F83BA1" w:rsidRPr="00F83BA1">
        <w:rPr>
          <w:highlight w:val="green"/>
        </w:rPr>
        <w:t>ego.</w:t>
      </w:r>
    </w:p>
    <w:p w14:paraId="22710F46" w14:textId="1E64F831" w:rsidR="00215D1B" w:rsidRDefault="00215D1B" w:rsidP="006D14C9">
      <w:pPr>
        <w:pStyle w:val="Akapitzlist"/>
        <w:numPr>
          <w:ilvl w:val="0"/>
          <w:numId w:val="1"/>
        </w:numPr>
        <w:ind w:left="426"/>
        <w:jc w:val="both"/>
      </w:pPr>
      <w:r w:rsidRPr="00215D1B">
        <w:t>Rozumiem, że zdemontowane elementy należy złożyć w miejscu demontażu np. na paletach lub innych dostarczonych przez Zamawiającego.</w:t>
      </w:r>
    </w:p>
    <w:p w14:paraId="76080B10" w14:textId="1C72F898" w:rsidR="006D14C9" w:rsidRPr="00215D1B" w:rsidRDefault="006D14C9" w:rsidP="006D14C9">
      <w:pPr>
        <w:pStyle w:val="Akapitzlist"/>
        <w:ind w:left="426"/>
        <w:jc w:val="both"/>
      </w:pPr>
      <w:r w:rsidRPr="006D14C9">
        <w:rPr>
          <w:highlight w:val="green"/>
        </w:rPr>
        <w:t>TAK, na paletach w miejscu demontażu bramy</w:t>
      </w:r>
      <w:r>
        <w:t xml:space="preserve"> </w:t>
      </w:r>
    </w:p>
    <w:p w14:paraId="042D224F" w14:textId="43CB424F" w:rsidR="00215D1B" w:rsidRDefault="00215D1B" w:rsidP="006D14C9">
      <w:pPr>
        <w:pStyle w:val="Akapitzlist"/>
        <w:numPr>
          <w:ilvl w:val="0"/>
          <w:numId w:val="1"/>
        </w:numPr>
        <w:ind w:left="360"/>
        <w:jc w:val="both"/>
      </w:pPr>
      <w:r w:rsidRPr="00215D1B">
        <w:t>Na czym jeszcze polegać miałoby zabezpieczenie zdemontowanych elementów?</w:t>
      </w:r>
    </w:p>
    <w:p w14:paraId="05D146A5" w14:textId="6F05EB07" w:rsidR="006D14C9" w:rsidRPr="00215D1B" w:rsidRDefault="006D14C9" w:rsidP="006D14C9">
      <w:pPr>
        <w:pStyle w:val="Akapitzlist"/>
        <w:ind w:left="360"/>
        <w:jc w:val="both"/>
      </w:pPr>
      <w:r w:rsidRPr="006D14C9">
        <w:rPr>
          <w:highlight w:val="green"/>
        </w:rPr>
        <w:t>Zabezpieczeniu mniejszych elementów w opakowaniu</w:t>
      </w:r>
      <w:r>
        <w:t xml:space="preserve"> </w:t>
      </w:r>
    </w:p>
    <w:p w14:paraId="268FD60A" w14:textId="2A812AE6" w:rsidR="00215D1B" w:rsidRDefault="00215D1B" w:rsidP="006D14C9">
      <w:pPr>
        <w:pStyle w:val="Akapitzlist"/>
        <w:numPr>
          <w:ilvl w:val="0"/>
          <w:numId w:val="1"/>
        </w:numPr>
        <w:ind w:left="360"/>
        <w:jc w:val="both"/>
      </w:pPr>
      <w:r w:rsidRPr="00215D1B">
        <w:t xml:space="preserve">Pytanie: rozumiem, że wymiana obróbek dotyczyć będzie tylko w tych </w:t>
      </w:r>
      <w:r w:rsidR="006D14C9" w:rsidRPr="00215D1B">
        <w:t>przypadkach,</w:t>
      </w:r>
      <w:r w:rsidRPr="00215D1B">
        <w:t xml:space="preserve"> kiedy demontaż istniejących będzie konieczny podczas demontażu bram czy również w </w:t>
      </w:r>
      <w:r w:rsidR="006D14C9" w:rsidRPr="00215D1B">
        <w:t>przypadku,</w:t>
      </w:r>
      <w:r w:rsidRPr="00215D1B">
        <w:t xml:space="preserve"> kiedy będą one </w:t>
      </w:r>
      <w:r w:rsidR="006D14C9" w:rsidRPr="00215D1B">
        <w:t>uszkodzone,</w:t>
      </w:r>
      <w:r w:rsidRPr="00215D1B">
        <w:t xml:space="preserve"> ale nie związane z realizowaną wymianą?</w:t>
      </w:r>
    </w:p>
    <w:p w14:paraId="025A2728" w14:textId="7EC00385" w:rsidR="006D14C9" w:rsidRPr="00215D1B" w:rsidRDefault="006D14C9" w:rsidP="006D14C9">
      <w:pPr>
        <w:pStyle w:val="Akapitzlist"/>
        <w:ind w:left="360"/>
        <w:jc w:val="both"/>
      </w:pPr>
      <w:r w:rsidRPr="006D14C9">
        <w:rPr>
          <w:highlight w:val="green"/>
        </w:rPr>
        <w:t>TAK – pod warunkiem, że uszkodzone obróbki nie będą miały wpływu na szczelność zamontowanej nowej bramy</w:t>
      </w:r>
      <w:r>
        <w:t xml:space="preserve"> </w:t>
      </w:r>
    </w:p>
    <w:p w14:paraId="42E586B8" w14:textId="05E2DE65" w:rsidR="00215D1B" w:rsidRPr="00215D1B" w:rsidRDefault="00215D1B" w:rsidP="00191985">
      <w:pPr>
        <w:pStyle w:val="Akapitzlist"/>
        <w:numPr>
          <w:ilvl w:val="0"/>
          <w:numId w:val="1"/>
        </w:numPr>
        <w:ind w:left="284"/>
        <w:jc w:val="both"/>
      </w:pPr>
      <w:r w:rsidRPr="00215D1B">
        <w:t xml:space="preserve">W bramie z drzwiami przejściowymi </w:t>
      </w:r>
      <w:proofErr w:type="spellStart"/>
      <w:r w:rsidRPr="00215D1B">
        <w:t>wsp</w:t>
      </w:r>
      <w:proofErr w:type="spellEnd"/>
      <w:r w:rsidRPr="00215D1B">
        <w:t>. U nie jest osiągalny na poziomie 1.3 niezależnie od Producenta czy grubości panela. Czy wobec tego dopuszczacie Państwo bramy gr. 40mm o współczynniku na wyższym poziomie, odpowiednio 2.1 W/m2K dla bram 2200x2600 i 1.8 W/m2K dla bram 3000x3000?</w:t>
      </w:r>
    </w:p>
    <w:p w14:paraId="3C6F8FB6" w14:textId="7A6E235F" w:rsidR="00215D1B" w:rsidRDefault="00215D1B" w:rsidP="00191985">
      <w:pPr>
        <w:pStyle w:val="Akapitzlist"/>
        <w:ind w:left="284"/>
        <w:jc w:val="both"/>
      </w:pPr>
      <w:r w:rsidRPr="00215D1B">
        <w:t xml:space="preserve">Obniżenie </w:t>
      </w:r>
      <w:proofErr w:type="spellStart"/>
      <w:r w:rsidRPr="00215D1B">
        <w:t>wsp</w:t>
      </w:r>
      <w:proofErr w:type="spellEnd"/>
      <w:r w:rsidRPr="00215D1B">
        <w:t>. U do poziomu 1.4-1.6 zapewnia brama niemieckiego producenta, jednak wykonanie bramy w takim wariancie wiąże się z dopłatą sięgającą nawet 70% ceny bram renomowanych polskich producentów.</w:t>
      </w:r>
    </w:p>
    <w:p w14:paraId="528AA76E" w14:textId="4F5B6B3C" w:rsidR="006D14C9" w:rsidRPr="00215D1B" w:rsidRDefault="00F83BA1" w:rsidP="00191985">
      <w:pPr>
        <w:pStyle w:val="Akapitzlist"/>
        <w:ind w:left="284"/>
        <w:jc w:val="both"/>
      </w:pPr>
      <w:r>
        <w:rPr>
          <w:highlight w:val="green"/>
        </w:rPr>
        <w:t xml:space="preserve">Ze względów ekonomicznych </w:t>
      </w:r>
      <w:r w:rsidR="006D14C9" w:rsidRPr="006D14C9">
        <w:rPr>
          <w:highlight w:val="green"/>
        </w:rPr>
        <w:t xml:space="preserve">Zamawiający wyraża zgodę na zastosowanie bram o współczynnikach nie przekraczających podanych wyżej </w:t>
      </w:r>
      <w:r w:rsidR="006D14C9" w:rsidRPr="00F83BA1">
        <w:rPr>
          <w:highlight w:val="green"/>
        </w:rPr>
        <w:t xml:space="preserve">wartości </w:t>
      </w:r>
      <w:r w:rsidRPr="00F83BA1">
        <w:rPr>
          <w:highlight w:val="green"/>
        </w:rPr>
        <w:t>dla poszczególnych bram.</w:t>
      </w:r>
    </w:p>
    <w:p w14:paraId="76BCBDDA" w14:textId="77777777" w:rsidR="00215D1B" w:rsidRPr="00215D1B" w:rsidRDefault="00215D1B" w:rsidP="00191985">
      <w:pPr>
        <w:pStyle w:val="Akapitzlist"/>
        <w:numPr>
          <w:ilvl w:val="0"/>
          <w:numId w:val="1"/>
        </w:numPr>
        <w:ind w:left="284"/>
        <w:jc w:val="both"/>
      </w:pPr>
      <w:r w:rsidRPr="00215D1B">
        <w:t>Pytanie: proszę o opisanie na czym polegać ma zwiększona wytrzymałość?</w:t>
      </w:r>
    </w:p>
    <w:p w14:paraId="5FC6E3D2" w14:textId="41CC56A5" w:rsidR="00215D1B" w:rsidRDefault="00215D1B" w:rsidP="00191985">
      <w:pPr>
        <w:pStyle w:val="Akapitzlist"/>
        <w:spacing w:after="0"/>
        <w:ind w:left="284"/>
        <w:jc w:val="both"/>
      </w:pPr>
      <w:r w:rsidRPr="00215D1B">
        <w:t>W przypadku bram od wiodących producentów z krajowego rynku istnieje możliwość wyposażenia bram w podwójne zawiasy i podwójne wsporniki rolek prowadzących.</w:t>
      </w:r>
    </w:p>
    <w:p w14:paraId="0C605C11" w14:textId="77777777" w:rsidR="00D336CA" w:rsidRDefault="006D14C9" w:rsidP="00191985">
      <w:pPr>
        <w:spacing w:after="0"/>
        <w:ind w:left="284"/>
        <w:jc w:val="both"/>
      </w:pPr>
      <w:r w:rsidRPr="00D336CA">
        <w:rPr>
          <w:highlight w:val="green"/>
        </w:rPr>
        <w:t xml:space="preserve">Zakres </w:t>
      </w:r>
      <w:r w:rsidRPr="00D336CA">
        <w:rPr>
          <w:highlight w:val="green"/>
        </w:rPr>
        <w:t>wzmocnienia powinno</w:t>
      </w:r>
      <w:r w:rsidRPr="00D336CA">
        <w:rPr>
          <w:highlight w:val="green"/>
        </w:rPr>
        <w:t xml:space="preserve"> obejmować zastosowanie</w:t>
      </w:r>
      <w:r w:rsidR="00D336CA" w:rsidRPr="00D336CA">
        <w:rPr>
          <w:highlight w:val="green"/>
        </w:rPr>
        <w:t>:</w:t>
      </w:r>
    </w:p>
    <w:p w14:paraId="29996150" w14:textId="4A314E42" w:rsidR="00D336CA" w:rsidRPr="00D336CA" w:rsidRDefault="006D14C9" w:rsidP="00191985">
      <w:pPr>
        <w:pStyle w:val="Akapitzlist"/>
        <w:numPr>
          <w:ilvl w:val="0"/>
          <w:numId w:val="2"/>
        </w:numPr>
        <w:jc w:val="both"/>
        <w:rPr>
          <w:highlight w:val="green"/>
        </w:rPr>
      </w:pPr>
      <w:r w:rsidRPr="00D336CA">
        <w:rPr>
          <w:highlight w:val="green"/>
        </w:rPr>
        <w:t>podwójnych zawiasów bocznych</w:t>
      </w:r>
      <w:r w:rsidR="00D336CA">
        <w:rPr>
          <w:highlight w:val="green"/>
        </w:rPr>
        <w:t>,</w:t>
      </w:r>
      <w:r w:rsidRPr="00D336CA">
        <w:rPr>
          <w:highlight w:val="green"/>
        </w:rPr>
        <w:t xml:space="preserve"> </w:t>
      </w:r>
    </w:p>
    <w:p w14:paraId="7E6980C9" w14:textId="6094068D" w:rsidR="00D336CA" w:rsidRPr="00D336CA" w:rsidRDefault="006D14C9" w:rsidP="00191985">
      <w:pPr>
        <w:pStyle w:val="Akapitzlist"/>
        <w:numPr>
          <w:ilvl w:val="0"/>
          <w:numId w:val="2"/>
        </w:numPr>
        <w:jc w:val="both"/>
        <w:rPr>
          <w:highlight w:val="green"/>
        </w:rPr>
      </w:pPr>
      <w:r w:rsidRPr="00D336CA">
        <w:rPr>
          <w:highlight w:val="green"/>
        </w:rPr>
        <w:t>podwójne uchwyty rolek</w:t>
      </w:r>
      <w:r w:rsidR="00D336CA">
        <w:rPr>
          <w:highlight w:val="green"/>
        </w:rPr>
        <w:t>,</w:t>
      </w:r>
      <w:r w:rsidRPr="00D336CA">
        <w:rPr>
          <w:highlight w:val="green"/>
        </w:rPr>
        <w:t xml:space="preserve"> </w:t>
      </w:r>
    </w:p>
    <w:p w14:paraId="5EA9EDCC" w14:textId="19BC8E88" w:rsidR="006D14C9" w:rsidRPr="00D336CA" w:rsidRDefault="00D336CA" w:rsidP="00191985">
      <w:pPr>
        <w:pStyle w:val="Akapitzlist"/>
        <w:numPr>
          <w:ilvl w:val="0"/>
          <w:numId w:val="2"/>
        </w:numPr>
        <w:jc w:val="both"/>
        <w:rPr>
          <w:highlight w:val="green"/>
        </w:rPr>
      </w:pPr>
      <w:r w:rsidRPr="00D336CA">
        <w:rPr>
          <w:highlight w:val="green"/>
        </w:rPr>
        <w:t xml:space="preserve">stalowego profilu wzmacniającego panel od wewnętrznej strony bramy. </w:t>
      </w:r>
    </w:p>
    <w:p w14:paraId="1938873F" w14:textId="012DC780" w:rsidR="00D336CA" w:rsidRDefault="00215D1B" w:rsidP="00191985">
      <w:pPr>
        <w:pStyle w:val="Akapitzlist"/>
        <w:numPr>
          <w:ilvl w:val="0"/>
          <w:numId w:val="1"/>
        </w:numPr>
        <w:ind w:left="426"/>
        <w:jc w:val="both"/>
      </w:pPr>
      <w:r w:rsidRPr="00215D1B">
        <w:t>Czy potencjalny front robót może obejmować 2-3 otwory bramowe jednocześnie?</w:t>
      </w:r>
      <w:r w:rsidR="00D336CA">
        <w:t xml:space="preserve"> </w:t>
      </w:r>
    </w:p>
    <w:p w14:paraId="7A30CC2F" w14:textId="5228952F" w:rsidR="00D336CA" w:rsidRDefault="00D336CA" w:rsidP="00191985">
      <w:pPr>
        <w:pStyle w:val="Akapitzlist"/>
        <w:ind w:left="426"/>
        <w:jc w:val="both"/>
      </w:pPr>
      <w:r w:rsidRPr="00D336CA">
        <w:rPr>
          <w:highlight w:val="green"/>
        </w:rPr>
        <w:t>Powyższe będzie zależało od uzgodnienia z danym Najemcą.</w:t>
      </w:r>
      <w:r>
        <w:t xml:space="preserve"> </w:t>
      </w:r>
    </w:p>
    <w:p w14:paraId="5A7BE6C4" w14:textId="5EF3AECF" w:rsidR="00D336CA" w:rsidRDefault="00D336CA" w:rsidP="00191985">
      <w:pPr>
        <w:pStyle w:val="Akapitzlist"/>
        <w:numPr>
          <w:ilvl w:val="0"/>
          <w:numId w:val="1"/>
        </w:numPr>
        <w:spacing w:after="0"/>
        <w:ind w:left="426" w:hanging="426"/>
        <w:jc w:val="both"/>
      </w:pPr>
      <w:r>
        <w:t>Przygotowanie bramy pod przyszły ewentualny montaż napędu. Standardowo przygotowanie bramy polega na: a) wydłużeniu wałka b) montażu czujnika otwarcia drzwi przejściowych c) zastosowania odpowiedniej uszczelki dolnej pozwalającej na montaż czujników listwy optycznej zabezpieczającej krawędź dolną. W przypadku bram z drzwiami z niskim progiem ta ostatnia czynność nie może zostać wykonana z uwagi na aluminiowy sztywny próg. W takim układzie pozostaje możliwość zamontowania kurtyny świetlnej lub przygotowania dolnego progu pod montaż innego zabezpieczenia krawędzi dolnej np. fotokomórki wyprzedzającej, co z kolei wiąże się z frezowaniem progu w warunkach fabrycznych. W bramach o wysokości poniżej 2700mm nie ma możliwości zastosowania powszechnie stosowanych kurtyn świetlnych, które standardowo są po prostu dłuższe.</w:t>
      </w:r>
    </w:p>
    <w:p w14:paraId="613A0327" w14:textId="5CEEF3DD" w:rsidR="00D336CA" w:rsidRPr="00215D1B" w:rsidRDefault="00D336CA" w:rsidP="00191985">
      <w:pPr>
        <w:spacing w:after="0"/>
        <w:ind w:left="426"/>
        <w:jc w:val="both"/>
      </w:pPr>
      <w:r w:rsidRPr="00D336CA">
        <w:rPr>
          <w:highlight w:val="green"/>
        </w:rPr>
        <w:t>Zamawiający nie narzuca rozwiązania technicznego Oferentowi jakie zamierza przyjąć, w zakresie bezpieczeństwa przed zgnieceniem przez zamykającą się bramę. W przypadku nieprzedstawienia rozwiązania technicznego przez oferenta na etapie składania oferty lub uzupeł</w:t>
      </w:r>
      <w:r>
        <w:rPr>
          <w:highlight w:val="green"/>
        </w:rPr>
        <w:t>ni</w:t>
      </w:r>
      <w:r w:rsidRPr="00D336CA">
        <w:rPr>
          <w:highlight w:val="green"/>
        </w:rPr>
        <w:t>enia oferty w ramach wezwania do oferta o te informacje w czasie rozpatrywania ofert, oferta zostanie odrzucona z postępowania.</w:t>
      </w:r>
    </w:p>
    <w:p w14:paraId="51F9EEC3" w14:textId="2CAE45A4" w:rsidR="00D336CA" w:rsidRDefault="00D336CA" w:rsidP="00191985">
      <w:pPr>
        <w:pStyle w:val="Akapitzlist"/>
        <w:numPr>
          <w:ilvl w:val="0"/>
          <w:numId w:val="1"/>
        </w:numPr>
        <w:ind w:left="360"/>
        <w:jc w:val="both"/>
      </w:pPr>
      <w:r>
        <w:t xml:space="preserve">Wskazane jest prowadzenie wysokie wyrażone jako HL. Akurat nadproże o wysokości 600mm jest punktem granicznym pomiędzy wysokim i standardowym. Zatem czy możemy zastosować dowolne prowadzenie z warunkiem, że wykorzystana zostanie cała wartość dostępnego nadproża? </w:t>
      </w:r>
    </w:p>
    <w:p w14:paraId="610F5B41" w14:textId="4FF9D25C" w:rsidR="00F83BA1" w:rsidRDefault="00D336CA" w:rsidP="00191985">
      <w:pPr>
        <w:pStyle w:val="Akapitzlist"/>
        <w:ind w:left="360"/>
        <w:jc w:val="both"/>
      </w:pPr>
      <w:r w:rsidRPr="00D336CA">
        <w:rPr>
          <w:highlight w:val="green"/>
        </w:rPr>
        <w:t>Prowadnice bram należy dostosować do istniejących warunków zabudowy z pełnym wykorzystaniem dostępnej wysokości nadproża tak aby prowadnice poziome zamontować jak najwyżej. Zamawiający nie dopuszcza montażu prowadnic niżej niż w obecnie zamontowanych bramach.  W tym celu Zamawiający zobowiązał oferentów od wykonania wizji lokalnej miejsca montażu nowych bram</w:t>
      </w:r>
      <w:r>
        <w:t>.</w:t>
      </w:r>
    </w:p>
    <w:p w14:paraId="354CADCA" w14:textId="3248DFA4" w:rsidR="00F83BA1" w:rsidRDefault="00F83BA1" w:rsidP="00191985">
      <w:pPr>
        <w:pStyle w:val="Akapitzlist"/>
        <w:numPr>
          <w:ilvl w:val="0"/>
          <w:numId w:val="1"/>
        </w:numPr>
        <w:ind w:left="426" w:hanging="426"/>
        <w:jc w:val="both"/>
      </w:pPr>
      <w:r>
        <w:t>Powłoka lakieru wewnętrznej strony płaszcza w RAL 9016. Standardowym kolorem dla malowania paneli od wewnątrz jest RAL 9002, czy akceptujecie Państwo panele w RAL 9002 od wewnątrz?</w:t>
      </w:r>
    </w:p>
    <w:p w14:paraId="02C55017" w14:textId="620A5657" w:rsidR="00D95ABD" w:rsidRDefault="00D95ABD" w:rsidP="00D95ABD">
      <w:pPr>
        <w:pStyle w:val="Akapitzlist"/>
        <w:ind w:left="426"/>
        <w:jc w:val="both"/>
      </w:pPr>
      <w:r w:rsidRPr="00D95ABD">
        <w:rPr>
          <w:highlight w:val="green"/>
        </w:rPr>
        <w:t>Tak akceptujemy kolor 9002</w:t>
      </w:r>
    </w:p>
    <w:p w14:paraId="440BCC60" w14:textId="217A4A75" w:rsidR="00191985" w:rsidRDefault="00F83BA1" w:rsidP="00191985">
      <w:pPr>
        <w:pStyle w:val="Akapitzlist"/>
        <w:numPr>
          <w:ilvl w:val="0"/>
          <w:numId w:val="1"/>
        </w:numPr>
        <w:ind w:left="426" w:hanging="426"/>
        <w:jc w:val="both"/>
      </w:pPr>
      <w:r>
        <w:t>Kolor okuć drzwi przejściowych. Czy okucia drzwi przejściowych mogą/muszą być wykonane w kolorze dowolnym (paleta RAL), kolorze zbliżonym (np. RAL 6002) czy kolorze identycznym jak płaszcz bramy (RAL 6005)?</w:t>
      </w:r>
    </w:p>
    <w:p w14:paraId="11AC2E0B" w14:textId="7B2E87D7" w:rsidR="00191985" w:rsidRDefault="00191985" w:rsidP="00191985">
      <w:pPr>
        <w:pStyle w:val="Akapitzlist"/>
        <w:ind w:left="426"/>
        <w:jc w:val="both"/>
      </w:pPr>
      <w:r w:rsidRPr="00191985">
        <w:rPr>
          <w:highlight w:val="green"/>
        </w:rPr>
        <w:t>Kolor okucia drzwi przejściowych zostaną zaakceptowane po dokonaniu wyboru Wykonawcy.  Zamawiający rozważa na tym etapie okucia w kolorze srebrnym lub kolorze bramy</w:t>
      </w:r>
      <w:r>
        <w:t xml:space="preserve">.   </w:t>
      </w:r>
    </w:p>
    <w:p w14:paraId="32D0FD65" w14:textId="77777777" w:rsidR="00215D1B" w:rsidRPr="00215D1B" w:rsidRDefault="00215D1B" w:rsidP="00191985"/>
    <w:sectPr w:rsidR="00215D1B" w:rsidRPr="00215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C501E"/>
    <w:multiLevelType w:val="hybridMultilevel"/>
    <w:tmpl w:val="CBD2D028"/>
    <w:lvl w:ilvl="0" w:tplc="CEF04EBC">
      <w:start w:val="1"/>
      <w:numFmt w:val="bullet"/>
      <w:lvlText w:val="-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3B4134B"/>
    <w:multiLevelType w:val="hybridMultilevel"/>
    <w:tmpl w:val="3B521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997148">
    <w:abstractNumId w:val="1"/>
  </w:num>
  <w:num w:numId="2" w16cid:durableId="36564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E70"/>
    <w:rsid w:val="00191985"/>
    <w:rsid w:val="00215D1B"/>
    <w:rsid w:val="00552E70"/>
    <w:rsid w:val="005D0948"/>
    <w:rsid w:val="006D14C9"/>
    <w:rsid w:val="007B6451"/>
    <w:rsid w:val="00873316"/>
    <w:rsid w:val="008B5967"/>
    <w:rsid w:val="0093357F"/>
    <w:rsid w:val="00D336CA"/>
    <w:rsid w:val="00D95ABD"/>
    <w:rsid w:val="00E9187E"/>
    <w:rsid w:val="00F8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3127"/>
  <w15:chartTrackingRefBased/>
  <w15:docId w15:val="{E6333005-D585-4277-B9C9-938199DD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2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2E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2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2E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2E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2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2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2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2E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2E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2E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2E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2E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2E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2E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2E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2E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2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2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2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2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2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2E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2E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2E7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2E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2E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2E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643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Filipiak</dc:creator>
  <cp:keywords/>
  <dc:description/>
  <cp:lastModifiedBy>Dominik Filipiak</cp:lastModifiedBy>
  <cp:revision>2</cp:revision>
  <dcterms:created xsi:type="dcterms:W3CDTF">2026-08-05T06:26:00Z</dcterms:created>
  <dcterms:modified xsi:type="dcterms:W3CDTF">2026-08-05T06:33:00Z</dcterms:modified>
</cp:coreProperties>
</file>